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right="-4.724409448817823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ASSEMBLÉE GÉNÉRALE ANNUELLE - ASSOCIATION DISC GOLF MONTRÉAL (ADGM)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Le dimanche 2 avril 2023 de 15 h 30 à 17 h 30 – Pub Brouhaha Rosemont</w:t>
      </w:r>
    </w:p>
    <w:p w:rsidR="00000000" w:rsidDel="00000000" w:rsidP="00000000" w:rsidRDefault="00000000" w:rsidRPr="00000000" w14:paraId="00000003">
      <w:pPr>
        <w:ind w:left="-566.9291338582677" w:right="-4.72440944881782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7" w:right="-4.724409448817823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ORDRE DU JOUR</w:t>
      </w:r>
    </w:p>
    <w:p w:rsidR="00000000" w:rsidDel="00000000" w:rsidP="00000000" w:rsidRDefault="00000000" w:rsidRPr="00000000" w14:paraId="00000005">
      <w:pPr>
        <w:ind w:left="-566.9291338582677" w:right="-4.72440944881782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Mot de bienvenue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Désignation d’un président d’assemblée et d’un secrétaire d’assemblée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Vérification de la conformité de l’assemblée (Avis de convocation et Quorum)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Lecture et adoption de l’ordre du jour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Adoption du procès-verbal de l’assemblée annuelle de 2022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Rôle de l’ADGM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d’activités 2022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financier 2022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d’action 2023-2024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Modernisation de nos démarches en lien avec la mission de l’association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Poursuite des démarches pour de nouveaux parcours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Possibilité d’un programme de subvention pour l’installation d’un parcours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de promotion du disque golf (liste non exhaustive: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425.19685039370086" w:right="-4.724409448817823" w:hanging="283.46456692913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Participation à l’émission TV “Génial”; au Festival des sports de Décathlon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425.19685039370086" w:right="278.7401574803164" w:hanging="283.46456692913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Cours à des éducateurs lors du colloque de la Fédération des éducateurs et éducatrices physiques enseignants du Québec (FÉÉPEQ)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425.19685039370086" w:right="-4.724409448817823" w:hanging="283.46456692913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na5paor672rc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Réponses aux courriels pour diverses demandes (Villes, particuliers, journalistes)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d’initiation au sport (portes ouvertes, cours, groupes scolaires et corpo)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pour les membres (tournoi, journée spéciale, concours)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Signalisation au Parcours de l’Île Charron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Équipe de bénévoles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Modification aux règlements généraux (ajout d’un 7e administrateur)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Suggestions des membres</w:t>
      </w:r>
    </w:p>
    <w:p w:rsidR="00000000" w:rsidDel="00000000" w:rsidP="00000000" w:rsidRDefault="00000000" w:rsidRPr="00000000" w14:paraId="0000001C">
      <w:pPr>
        <w:ind w:left="-566.9291338582677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Précisions sur l’implication permanente d’un membre dans un poste non votant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Élection d’un président et d’un secrétaire d’élection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Description des postes en élection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Président (Paul-André Lemieux, sortant, se représente)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Trésorière (Kathleen Désilets, sortante, se représente)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 (Éric Couture, démission à mi-mandat)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réseaux sociaux (Patrick Dumas, sortant, se représente)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beforeAutospacing="0" w:lineRule="auto"/>
        <w:ind w:left="141.73228346456688" w:right="-4.724409448817823" w:hanging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(Mathieu Salvail, démission à mi-mandat)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before="40" w:lineRule="auto"/>
        <w:ind w:left="141.73228346456688" w:right="-4.724409448817823" w:hanging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Poste qui n’est pas en élection, mais la transition doit être approuvée par les membres 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before="40" w:lineRule="auto"/>
        <w:ind w:left="420" w:right="-4.724409448817823" w:hanging="278.267716535433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Vice-président* (Simon Delisle, démission à mi-mandat)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*Mathieu Salvail : transition vers le poste de vice-président pour mi-mandat; un an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Élection des membres du conseil d’administration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paires)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 (mi-mandat; un an)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(mi-mandat; un an)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impaires)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Président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Trésorière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(1) - réseaux sociaux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Période de questions (Qu’attendez-vous de l’ADGM?)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Levée de l’assemblée</w:t>
      </w:r>
    </w:p>
    <w:p w:rsidR="00000000" w:rsidDel="00000000" w:rsidP="00000000" w:rsidRDefault="00000000" w:rsidRPr="00000000" w14:paraId="00000035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(Extrait des règlements généraux)</w:t>
      </w:r>
    </w:p>
    <w:p w:rsidR="00000000" w:rsidDel="00000000" w:rsidP="00000000" w:rsidRDefault="00000000" w:rsidRPr="00000000" w14:paraId="0000003B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spacing w:after="240" w:lineRule="auto"/>
        <w:ind w:left="1440" w:firstLine="0"/>
        <w:jc w:val="both"/>
        <w:rPr>
          <w:rFonts w:ascii="Times New Roman" w:cs="Times New Roman" w:eastAsia="Times New Roman" w:hAnsi="Times New Roman"/>
          <w:b w:val="0"/>
          <w:sz w:val="20"/>
          <w:szCs w:val="20"/>
          <w:highlight w:val="yellow"/>
        </w:rPr>
      </w:pPr>
      <w:bookmarkStart w:colFirst="0" w:colLast="0" w:name="_heading=h.p1g4q5e54qin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Président / Trésorier  / Administrateur (1)  = aux années Impaires.</w:t>
      </w:r>
    </w:p>
    <w:p w:rsidR="00000000" w:rsidDel="00000000" w:rsidP="00000000" w:rsidRDefault="00000000" w:rsidRPr="00000000" w14:paraId="0000003D">
      <w:pPr>
        <w:pStyle w:val="Heading3"/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spacing w:after="240" w:lineRule="auto"/>
        <w:ind w:left="1440" w:firstLine="0"/>
        <w:jc w:val="both"/>
        <w:rPr>
          <w:rFonts w:ascii="Times New Roman" w:cs="Times New Roman" w:eastAsia="Times New Roman" w:hAnsi="Times New Roman"/>
          <w:b w:val="0"/>
          <w:sz w:val="20"/>
          <w:szCs w:val="20"/>
          <w:highlight w:val="yellow"/>
        </w:rPr>
      </w:pPr>
      <w:bookmarkStart w:colFirst="0" w:colLast="0" w:name="_heading=h.a166s3jmmwoq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Vice-président / Secrétaire / Administrateur (2) = aux années Paires</w:t>
      </w:r>
    </w:p>
    <w:p w:rsidR="00000000" w:rsidDel="00000000" w:rsidP="00000000" w:rsidRDefault="00000000" w:rsidRPr="00000000" w14:paraId="0000003E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ADMINISTRATEUR 1 = RÉSEAUX SOCIAUX car élu en même temps que président et trésorier en 2021.</w:t>
      </w:r>
    </w:p>
    <w:p w:rsidR="00000000" w:rsidDel="00000000" w:rsidP="00000000" w:rsidRDefault="00000000" w:rsidRPr="00000000" w14:paraId="00000042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SECRÉTAIRE = ADMINISTRATEUR ÉRIC COUTURE car élu l’an dernier</w:t>
      </w:r>
    </w:p>
    <w:p w:rsidR="00000000" w:rsidDel="00000000" w:rsidP="00000000" w:rsidRDefault="00000000" w:rsidRPr="00000000" w14:paraId="00000043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highlight w:val="yellow"/>
          <w:rtl w:val="0"/>
        </w:rPr>
        <w:t xml:space="preserve">ADMINISTRATEUR 2 = MATHIEU SALVAIL car élu l’an dernier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595.2755905511822" w:header="396.85039370078744" w:footer="396.850393700787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hanging="566.9291338582677"/>
      <w:rPr/>
    </w:pPr>
    <w:r w:rsidDel="00000000" w:rsidR="00000000" w:rsidRPr="00000000">
      <w:rPr/>
      <w:drawing>
        <wp:inline distB="114300" distT="114300" distL="114300" distR="114300">
          <wp:extent cx="1247775" cy="786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451" l="0" r="0" t="20262"/>
                  <a:stretch>
                    <a:fillRect/>
                  </a:stretch>
                </pic:blipFill>
                <pic:spPr>
                  <a:xfrm>
                    <a:off x="0" y="0"/>
                    <a:ext cx="1247775" cy="786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Ordre du jour - AGA 2023</w:t>
    </w:r>
  </w:p>
  <w:p w:rsidR="00000000" w:rsidDel="00000000" w:rsidP="00000000" w:rsidRDefault="00000000" w:rsidRPr="00000000" w14:paraId="00000048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ADGM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CA"/>
      </w:rPr>
    </w:rPrDefault>
    <w:pPrDefault>
      <w:pPr>
        <w:ind w:left="108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0"/>
    </w:pPr>
    <w:rPr>
      <w:rFonts w:ascii="Arial Black" w:cs="Arial Black" w:eastAsia="Arial Black" w:hAnsi="Arial Black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spacing w:after="60" w:before="240"/>
      <w:outlineLvl w:val="0"/>
    </w:pPr>
    <w:rPr>
      <w:b w:val="1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after="240"/>
      <w:ind w:left="0"/>
      <w:outlineLvl w:val="1"/>
    </w:pPr>
    <w:rPr>
      <w:rFonts w:ascii="Arial Black" w:cs="Arial Black" w:eastAsia="Arial Black" w:hAnsi="Arial Black"/>
      <w:sz w:val="22"/>
      <w:szCs w:val="22"/>
    </w:rPr>
  </w:style>
  <w:style w:type="paragraph" w:styleId="Titre3">
    <w:name w:val="heading 3"/>
    <w:basedOn w:val="Normal"/>
    <w:next w:val="Normal"/>
    <w:pPr>
      <w:keepNext w:val="1"/>
      <w:ind w:left="0"/>
      <w:jc w:val="center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outlineLvl w:val="3"/>
    </w:pPr>
    <w:rPr>
      <w:b w:val="1"/>
      <w:sz w:val="28"/>
      <w:szCs w:val="28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spacing w:after="60" w:before="240"/>
      <w:jc w:val="center"/>
    </w:pPr>
    <w:rPr>
      <w:b w:val="1"/>
      <w:sz w:val="32"/>
      <w:szCs w:val="32"/>
    </w:rPr>
  </w:style>
  <w:style w:type="paragraph" w:styleId="Sous-titre">
    <w:name w:val="Subtitle"/>
    <w:basedOn w:val="Normal"/>
    <w:next w:val="Normal"/>
    <w:pPr>
      <w:keepNext w:val="1"/>
      <w:keepLines w:val="1"/>
      <w:spacing w:after="120" w:before="60"/>
      <w:ind w:left="0"/>
    </w:pPr>
    <w:rPr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</w:style>
  <w:style w:type="character" w:styleId="CommentaireCar" w:customStyle="1">
    <w:name w:val="Commentaire Car"/>
    <w:basedOn w:val="Policepardfaut"/>
    <w:link w:val="Commentaire"/>
    <w:uiPriority w:val="99"/>
    <w:semiHidden w:val="1"/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94D8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94D86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736E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120" w:before="60" w:lineRule="auto"/>
      <w:ind w:left="0"/>
    </w:pPr>
    <w:rPr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j/rZIJnfNMQmDvMPNxUDek91Pg==">AMUW2mXrzPYFjuQP6sQKpOkgalPooheaqISF7UeAO+MMoR8BE6YgQD5PnBNWwHsA7Ppoic8faKSLgf4iO2xnpCvW0WdI42hpCiGd7R6Suz5ZVl7a9dd+mL0WEpqXF8Nh+iP6L0qINoQjHAdWZFcJDKow4OxyJh5Q9hdM4eWdXJQRy2TUjsgOPeyDQwYwwJlaYcaDSVgaiu04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2023-03-27T17:17:00Z</dcterms:created>
  <dc:creator>Paul-Andre Lemieux</dc:creator>
</cp:coreProperties>
</file>